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8943" w14:textId="77777777" w:rsidR="00F1122D" w:rsidRDefault="00BD43C5">
      <w:pPr>
        <w:rPr>
          <w:rFonts w:ascii="Arial" w:hAnsi="Arial" w:cs="Arial"/>
          <w:b/>
          <w:bCs/>
        </w:rPr>
      </w:pPr>
      <w:r w:rsidRPr="00BD43C5">
        <w:rPr>
          <w:rFonts w:ascii="Arial" w:hAnsi="Arial" w:cs="Arial"/>
          <w:b/>
          <w:bCs/>
        </w:rPr>
        <w:t>PAIA MANUAL INFORMATION SHEET</w:t>
      </w:r>
    </w:p>
    <w:p w14:paraId="43016106" w14:textId="77777777" w:rsidR="00F1122D" w:rsidRPr="00316459" w:rsidRDefault="00F1122D" w:rsidP="00F1122D">
      <w:pPr>
        <w:rPr>
          <w:rFonts w:ascii="Arial" w:hAnsi="Arial" w:cs="Arial"/>
        </w:rPr>
      </w:pPr>
      <w:r w:rsidRPr="00316459">
        <w:rPr>
          <w:rFonts w:ascii="Arial" w:hAnsi="Arial" w:cs="Arial"/>
        </w:rPr>
        <w:t>Name of Private Body</w:t>
      </w:r>
    </w:p>
    <w:p w14:paraId="26F3F514" w14:textId="7C24F536" w:rsidR="00F1122D" w:rsidRPr="00316459" w:rsidRDefault="00F1122D" w:rsidP="00F1122D">
      <w:pPr>
        <w:rPr>
          <w:rFonts w:ascii="Arial" w:hAnsi="Arial" w:cs="Arial"/>
        </w:rPr>
      </w:pPr>
      <w:r w:rsidRPr="00316459">
        <w:rPr>
          <w:rFonts w:ascii="Arial" w:hAnsi="Arial" w:cs="Arial"/>
        </w:rPr>
        <w:t xml:space="preserve">Background of [brief description of your organisation]        </w:t>
      </w:r>
    </w:p>
    <w:p w14:paraId="4D619471" w14:textId="77777777" w:rsidR="00F1122D" w:rsidRPr="00316459" w:rsidRDefault="00F1122D" w:rsidP="00F1122D">
      <w:pPr>
        <w:rPr>
          <w:rFonts w:ascii="Arial" w:hAnsi="Arial" w:cs="Arial"/>
        </w:rPr>
      </w:pPr>
      <w:r w:rsidRPr="00316459">
        <w:rPr>
          <w:rFonts w:ascii="Arial" w:hAnsi="Arial" w:cs="Arial"/>
        </w:rPr>
        <w:t>Registration numbers</w:t>
      </w:r>
    </w:p>
    <w:p w14:paraId="33888DA4" w14:textId="3841D94A" w:rsidR="00F1122D" w:rsidRPr="00316459" w:rsidRDefault="00F1122D" w:rsidP="00F1122D">
      <w:pPr>
        <w:rPr>
          <w:rFonts w:ascii="Arial" w:hAnsi="Arial" w:cs="Arial"/>
        </w:rPr>
      </w:pPr>
      <w:r w:rsidRPr="00316459">
        <w:rPr>
          <w:rFonts w:ascii="Arial" w:hAnsi="Arial" w:cs="Arial"/>
        </w:rPr>
        <w:t xml:space="preserve">Entity </w:t>
      </w:r>
    </w:p>
    <w:p w14:paraId="18AE9736" w14:textId="5139B5C3" w:rsidR="00F1122D" w:rsidRPr="00316459" w:rsidRDefault="00F1122D" w:rsidP="00F1122D">
      <w:pPr>
        <w:rPr>
          <w:rFonts w:ascii="Arial" w:hAnsi="Arial" w:cs="Arial"/>
        </w:rPr>
      </w:pPr>
      <w:r w:rsidRPr="00316459">
        <w:rPr>
          <w:rFonts w:ascii="Arial" w:hAnsi="Arial" w:cs="Arial"/>
        </w:rPr>
        <w:t xml:space="preserve">Income tax </w:t>
      </w:r>
    </w:p>
    <w:p w14:paraId="7CEBA2CB" w14:textId="2DFED76D" w:rsidR="00F1122D" w:rsidRPr="00316459" w:rsidRDefault="00F1122D" w:rsidP="00F1122D">
      <w:pPr>
        <w:rPr>
          <w:rFonts w:ascii="Arial" w:hAnsi="Arial" w:cs="Arial"/>
        </w:rPr>
      </w:pPr>
      <w:r w:rsidRPr="00316459">
        <w:rPr>
          <w:rFonts w:ascii="Arial" w:hAnsi="Arial" w:cs="Arial"/>
        </w:rPr>
        <w:t xml:space="preserve">Value added tax </w:t>
      </w:r>
    </w:p>
    <w:p w14:paraId="76D13E14" w14:textId="249B456B" w:rsidR="00F1122D" w:rsidRPr="00316459" w:rsidRDefault="00F1122D" w:rsidP="00F1122D">
      <w:pPr>
        <w:rPr>
          <w:rFonts w:ascii="Arial" w:hAnsi="Arial" w:cs="Arial"/>
        </w:rPr>
      </w:pPr>
      <w:proofErr w:type="gramStart"/>
      <w:r w:rsidRPr="00316459">
        <w:rPr>
          <w:rFonts w:ascii="Arial" w:hAnsi="Arial" w:cs="Arial"/>
        </w:rPr>
        <w:t>Employees</w:t>
      </w:r>
      <w:proofErr w:type="gramEnd"/>
      <w:r w:rsidRPr="00316459">
        <w:rPr>
          <w:rFonts w:ascii="Arial" w:hAnsi="Arial" w:cs="Arial"/>
        </w:rPr>
        <w:t xml:space="preserve"> tax </w:t>
      </w:r>
    </w:p>
    <w:p w14:paraId="54477AAD" w14:textId="73C2E505" w:rsidR="00F1122D" w:rsidRPr="00316459" w:rsidRDefault="00F1122D" w:rsidP="00F1122D">
      <w:pPr>
        <w:rPr>
          <w:rFonts w:ascii="Arial" w:hAnsi="Arial" w:cs="Arial"/>
        </w:rPr>
      </w:pPr>
      <w:r w:rsidRPr="00316459">
        <w:rPr>
          <w:rFonts w:ascii="Arial" w:hAnsi="Arial" w:cs="Arial"/>
        </w:rPr>
        <w:t xml:space="preserve">Dept of Labour </w:t>
      </w:r>
      <w:proofErr w:type="spellStart"/>
      <w:r w:rsidRPr="00316459">
        <w:rPr>
          <w:rFonts w:ascii="Arial" w:hAnsi="Arial" w:cs="Arial"/>
        </w:rPr>
        <w:t>Workmens</w:t>
      </w:r>
      <w:proofErr w:type="spellEnd"/>
      <w:r w:rsidRPr="00316459">
        <w:rPr>
          <w:rFonts w:ascii="Arial" w:hAnsi="Arial" w:cs="Arial"/>
        </w:rPr>
        <w:t xml:space="preserve"> compensation </w:t>
      </w:r>
    </w:p>
    <w:p w14:paraId="553A30F6" w14:textId="2A23856C" w:rsidR="00F1122D" w:rsidRPr="00316459" w:rsidRDefault="00F1122D" w:rsidP="00F1122D">
      <w:pPr>
        <w:rPr>
          <w:rFonts w:ascii="Arial" w:hAnsi="Arial" w:cs="Arial"/>
        </w:rPr>
      </w:pPr>
      <w:r w:rsidRPr="00316459">
        <w:rPr>
          <w:rFonts w:ascii="Arial" w:hAnsi="Arial" w:cs="Arial"/>
        </w:rPr>
        <w:t>Physical address</w:t>
      </w:r>
    </w:p>
    <w:p w14:paraId="0C41A37B" w14:textId="2A53C72E" w:rsidR="00F1122D" w:rsidRPr="00316459" w:rsidRDefault="00F1122D" w:rsidP="00F1122D">
      <w:pPr>
        <w:rPr>
          <w:rFonts w:ascii="Arial" w:hAnsi="Arial" w:cs="Arial"/>
        </w:rPr>
      </w:pPr>
      <w:r w:rsidRPr="00316459">
        <w:rPr>
          <w:rFonts w:ascii="Arial" w:hAnsi="Arial" w:cs="Arial"/>
        </w:rPr>
        <w:t>Postal address</w:t>
      </w:r>
    </w:p>
    <w:p w14:paraId="51F65FA8" w14:textId="77777777" w:rsidR="00F1122D" w:rsidRPr="00316459" w:rsidRDefault="00F1122D" w:rsidP="00F1122D">
      <w:pPr>
        <w:rPr>
          <w:rFonts w:ascii="Arial" w:hAnsi="Arial" w:cs="Arial"/>
        </w:rPr>
      </w:pPr>
      <w:r w:rsidRPr="00316459">
        <w:rPr>
          <w:rFonts w:ascii="Arial" w:hAnsi="Arial" w:cs="Arial"/>
        </w:rPr>
        <w:t>Contact details</w:t>
      </w:r>
    </w:p>
    <w:p w14:paraId="73C09BA0" w14:textId="6B0D07F9" w:rsidR="00F1122D" w:rsidRPr="00316459" w:rsidRDefault="00F1122D" w:rsidP="00F1122D">
      <w:pPr>
        <w:rPr>
          <w:rFonts w:ascii="Arial" w:hAnsi="Arial" w:cs="Arial"/>
        </w:rPr>
      </w:pPr>
      <w:r w:rsidRPr="00316459">
        <w:rPr>
          <w:rFonts w:ascii="Arial" w:hAnsi="Arial" w:cs="Arial"/>
        </w:rPr>
        <w:t xml:space="preserve">Phone  </w:t>
      </w:r>
    </w:p>
    <w:p w14:paraId="3F1F4309" w14:textId="6DF7DA9C" w:rsidR="00F1122D" w:rsidRPr="00316459" w:rsidRDefault="00F1122D" w:rsidP="00F1122D">
      <w:pPr>
        <w:rPr>
          <w:rFonts w:ascii="Arial" w:hAnsi="Arial" w:cs="Arial"/>
        </w:rPr>
      </w:pPr>
      <w:r w:rsidRPr="00316459">
        <w:rPr>
          <w:rFonts w:ascii="Arial" w:hAnsi="Arial" w:cs="Arial"/>
        </w:rPr>
        <w:t xml:space="preserve">Mobile phone  </w:t>
      </w:r>
    </w:p>
    <w:p w14:paraId="2D5B7821" w14:textId="588A75F3" w:rsidR="00F1122D" w:rsidRPr="00316459" w:rsidRDefault="00F1122D" w:rsidP="00F1122D">
      <w:pPr>
        <w:rPr>
          <w:rFonts w:ascii="Arial" w:hAnsi="Arial" w:cs="Arial"/>
        </w:rPr>
      </w:pPr>
      <w:r w:rsidRPr="00316459">
        <w:rPr>
          <w:rFonts w:ascii="Arial" w:hAnsi="Arial" w:cs="Arial"/>
        </w:rPr>
        <w:t xml:space="preserve">Fax  </w:t>
      </w:r>
    </w:p>
    <w:p w14:paraId="291C44E2" w14:textId="52DBDF0A" w:rsidR="00F1122D" w:rsidRPr="00316459" w:rsidRDefault="00F1122D" w:rsidP="00F1122D">
      <w:pPr>
        <w:rPr>
          <w:rFonts w:ascii="Arial" w:hAnsi="Arial" w:cs="Arial"/>
        </w:rPr>
      </w:pPr>
      <w:r w:rsidRPr="00316459">
        <w:rPr>
          <w:rFonts w:ascii="Arial" w:hAnsi="Arial" w:cs="Arial"/>
        </w:rPr>
        <w:t xml:space="preserve">Email  </w:t>
      </w:r>
    </w:p>
    <w:p w14:paraId="3C8B6319" w14:textId="580874D3" w:rsidR="00F1122D" w:rsidRPr="00316459" w:rsidRDefault="00F1122D" w:rsidP="00F1122D">
      <w:pPr>
        <w:rPr>
          <w:rFonts w:ascii="Arial" w:hAnsi="Arial" w:cs="Arial"/>
        </w:rPr>
      </w:pPr>
      <w:r w:rsidRPr="00316459">
        <w:rPr>
          <w:rFonts w:ascii="Arial" w:hAnsi="Arial" w:cs="Arial"/>
        </w:rPr>
        <w:t xml:space="preserve">Website address  </w:t>
      </w:r>
    </w:p>
    <w:p w14:paraId="4A659D7C" w14:textId="2A3263DD" w:rsidR="00F1122D" w:rsidRPr="00316459" w:rsidRDefault="00F1122D" w:rsidP="00F1122D">
      <w:pPr>
        <w:rPr>
          <w:rFonts w:ascii="Arial" w:hAnsi="Arial" w:cs="Arial"/>
        </w:rPr>
      </w:pPr>
      <w:r w:rsidRPr="00316459">
        <w:rPr>
          <w:rFonts w:ascii="Arial" w:hAnsi="Arial" w:cs="Arial"/>
        </w:rPr>
        <w:t xml:space="preserve">Details of the information officer </w:t>
      </w:r>
    </w:p>
    <w:p w14:paraId="59019D29" w14:textId="77777777" w:rsidR="00F1122D" w:rsidRPr="00316459" w:rsidRDefault="00F1122D" w:rsidP="00F1122D">
      <w:pPr>
        <w:rPr>
          <w:rFonts w:ascii="Arial" w:hAnsi="Arial" w:cs="Arial"/>
        </w:rPr>
      </w:pPr>
      <w:r w:rsidRPr="00316459">
        <w:rPr>
          <w:rFonts w:ascii="Arial" w:hAnsi="Arial" w:cs="Arial"/>
        </w:rPr>
        <w:t>Applicable documents</w:t>
      </w:r>
    </w:p>
    <w:p w14:paraId="2DF71C1E" w14:textId="1AF7780F" w:rsidR="00F1122D" w:rsidRPr="00316459" w:rsidRDefault="00F1122D" w:rsidP="00F1122D">
      <w:pPr>
        <w:rPr>
          <w:rFonts w:ascii="Arial" w:hAnsi="Arial" w:cs="Arial"/>
        </w:rPr>
      </w:pPr>
      <w:r w:rsidRPr="00316459">
        <w:rPr>
          <w:rFonts w:ascii="Arial" w:hAnsi="Arial" w:cs="Arial"/>
        </w:rPr>
        <w:t>Marketing pamphlets and material</w:t>
      </w:r>
    </w:p>
    <w:p w14:paraId="0B85F76C" w14:textId="0AE19C3F" w:rsidR="00F1122D" w:rsidRPr="00316459" w:rsidRDefault="00F1122D" w:rsidP="00F1122D">
      <w:pPr>
        <w:rPr>
          <w:rFonts w:ascii="Arial" w:hAnsi="Arial" w:cs="Arial"/>
        </w:rPr>
      </w:pPr>
      <w:r w:rsidRPr="00316459">
        <w:rPr>
          <w:rFonts w:ascii="Arial" w:hAnsi="Arial" w:cs="Arial"/>
        </w:rPr>
        <w:t>Records in terms of Legislation - Section 51(1) (d) Records</w:t>
      </w:r>
    </w:p>
    <w:p w14:paraId="7D4003D1" w14:textId="77777777" w:rsidR="00F1122D" w:rsidRPr="00316459" w:rsidRDefault="00F1122D" w:rsidP="00F1122D">
      <w:pPr>
        <w:rPr>
          <w:rFonts w:ascii="Arial" w:hAnsi="Arial" w:cs="Arial"/>
        </w:rPr>
      </w:pPr>
      <w:r w:rsidRPr="00316459">
        <w:rPr>
          <w:rFonts w:ascii="Arial" w:hAnsi="Arial" w:cs="Arial"/>
        </w:rPr>
        <w:t>The Private Body further holds certain records which the Private Body must make available in terms of other legislation to the persons or entities specified in such legislation and the applicable legislation is listed below. (DELETE NOT APPLICABLE)</w:t>
      </w:r>
    </w:p>
    <w:p w14:paraId="1BDF6649" w14:textId="77777777" w:rsidR="00F1122D" w:rsidRPr="00316459" w:rsidRDefault="00F1122D" w:rsidP="00F1122D">
      <w:pPr>
        <w:rPr>
          <w:rFonts w:ascii="Arial" w:hAnsi="Arial" w:cs="Arial"/>
        </w:rPr>
      </w:pPr>
    </w:p>
    <w:p w14:paraId="6463ADA6"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Arbitration Act 42 of 1965</w:t>
      </w:r>
    </w:p>
    <w:p w14:paraId="5F099CCF"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Attorneys Act 53 of 1979</w:t>
      </w:r>
    </w:p>
    <w:p w14:paraId="0ED1936F"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Basic Conditions of Employment Act 75 of 1997</w:t>
      </w:r>
    </w:p>
    <w:p w14:paraId="1911C1D3"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Closed Corporation Act 69 of 1984</w:t>
      </w:r>
    </w:p>
    <w:p w14:paraId="59456D7A"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Close Corporations amendment Act 25 of 2005</w:t>
      </w:r>
    </w:p>
    <w:p w14:paraId="5785D981"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Compensation for Occupational Injuries and Diseases Act 130 of 1993</w:t>
      </w:r>
    </w:p>
    <w:p w14:paraId="44F61130"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Competition Act 89 of 1998</w:t>
      </w:r>
    </w:p>
    <w:p w14:paraId="2EFE4AC9" w14:textId="77777777" w:rsidR="00F1122D" w:rsidRPr="00316459" w:rsidRDefault="00F1122D" w:rsidP="00F1122D">
      <w:pPr>
        <w:rPr>
          <w:rFonts w:ascii="Arial" w:hAnsi="Arial" w:cs="Arial"/>
        </w:rPr>
      </w:pPr>
      <w:r w:rsidRPr="00316459">
        <w:rPr>
          <w:rFonts w:ascii="Arial" w:hAnsi="Arial" w:cs="Arial"/>
        </w:rPr>
        <w:lastRenderedPageBreak/>
        <w:t>•</w:t>
      </w:r>
      <w:r w:rsidRPr="00316459">
        <w:rPr>
          <w:rFonts w:ascii="Arial" w:hAnsi="Arial" w:cs="Arial"/>
        </w:rPr>
        <w:tab/>
        <w:t>Consumer Protection Act 68 of 2008</w:t>
      </w:r>
    </w:p>
    <w:p w14:paraId="6C87CD85"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Copyright Act 61 of 1978</w:t>
      </w:r>
    </w:p>
    <w:p w14:paraId="30E4529D"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Electronic Communications and Transactions Act 25 of 2002</w:t>
      </w:r>
    </w:p>
    <w:p w14:paraId="42422F12"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Employment Equity Act 55 of 1998</w:t>
      </w:r>
    </w:p>
    <w:p w14:paraId="00149DCF"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Financial Advisory and Intermediary Services Act no 37 of 2002</w:t>
      </w:r>
    </w:p>
    <w:p w14:paraId="31F6C0A1"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Financial Intelligence Centre Act 38 of 2001</w:t>
      </w:r>
    </w:p>
    <w:p w14:paraId="62489D54"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Income Tax Act 58 of 1962</w:t>
      </w:r>
    </w:p>
    <w:p w14:paraId="16C899E0"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Insolvency Act 24 of 1936</w:t>
      </w:r>
    </w:p>
    <w:p w14:paraId="28C3F19B"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Insurance Act 27 of 1943</w:t>
      </w:r>
    </w:p>
    <w:p w14:paraId="001888E0"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Intellectual Property Laws Amendments Act 38 of 1997</w:t>
      </w:r>
    </w:p>
    <w:p w14:paraId="4847AA61"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Interception and Monitoring Prohibition Act 127 of 1992</w:t>
      </w:r>
    </w:p>
    <w:p w14:paraId="00601D24"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Labour Relations Act 66 of 1995</w:t>
      </w:r>
    </w:p>
    <w:p w14:paraId="024A9D49"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Long Term Insurance Act 52 of 1998</w:t>
      </w:r>
    </w:p>
    <w:p w14:paraId="0380BDA3"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Non-profit Organisations Act 71 of 1997.</w:t>
      </w:r>
    </w:p>
    <w:p w14:paraId="7CF7B5F8"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Occupational Health and Safety Act 85 of 1993</w:t>
      </w:r>
    </w:p>
    <w:p w14:paraId="460CEC02"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Prevention of Organised Crime Act 121 of 1998</w:t>
      </w:r>
    </w:p>
    <w:p w14:paraId="78C6E329"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Protection of Businesses Act 99 of 1978</w:t>
      </w:r>
    </w:p>
    <w:p w14:paraId="0105A551"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Regional Services Councils Act 109 of 1985</w:t>
      </w:r>
    </w:p>
    <w:p w14:paraId="50A3CCFF"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SA Schools Act 84 of 1996</w:t>
      </w:r>
    </w:p>
    <w:p w14:paraId="36FC31CC"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Sectional Titles Act 95 of 1986</w:t>
      </w:r>
    </w:p>
    <w:p w14:paraId="040F3847"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Short Term Insurance Act 53 of 1998</w:t>
      </w:r>
    </w:p>
    <w:p w14:paraId="56EEB51D"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Skills Development Act 97 of 1998</w:t>
      </w:r>
    </w:p>
    <w:p w14:paraId="1EA6F1A7"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Skills Development Levies Act 9 of 1999</w:t>
      </w:r>
    </w:p>
    <w:p w14:paraId="05915E86"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Stamp Duties Act 77 of 1968</w:t>
      </w:r>
    </w:p>
    <w:p w14:paraId="34E3FFC4"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The Co-operatives Act 14 of 2005</w:t>
      </w:r>
    </w:p>
    <w:p w14:paraId="29D7C7D0"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The Fund-Raising Act 107 of 1978</w:t>
      </w:r>
    </w:p>
    <w:p w14:paraId="56194696"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The National Credit Act 34 of 2005</w:t>
      </w:r>
    </w:p>
    <w:p w14:paraId="22B5C209"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r>
      <w:proofErr w:type="gramStart"/>
      <w:r w:rsidRPr="00316459">
        <w:rPr>
          <w:rFonts w:ascii="Arial" w:hAnsi="Arial" w:cs="Arial"/>
        </w:rPr>
        <w:t>Trade Marks</w:t>
      </w:r>
      <w:proofErr w:type="gramEnd"/>
      <w:r w:rsidRPr="00316459">
        <w:rPr>
          <w:rFonts w:ascii="Arial" w:hAnsi="Arial" w:cs="Arial"/>
        </w:rPr>
        <w:t xml:space="preserve"> Act 194 of 1993</w:t>
      </w:r>
    </w:p>
    <w:p w14:paraId="31E18912"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Trust Property Control Act 57 of 1988</w:t>
      </w:r>
    </w:p>
    <w:p w14:paraId="34543B0D"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Unemployment Insurance Act 63 of 2001</w:t>
      </w:r>
    </w:p>
    <w:p w14:paraId="1E6A2E74"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Unemployment Insurance Contributions Act 4 of 2002</w:t>
      </w:r>
    </w:p>
    <w:p w14:paraId="6A84CB9D" w14:textId="77777777" w:rsidR="00F1122D" w:rsidRPr="00316459" w:rsidRDefault="00F1122D" w:rsidP="00F1122D">
      <w:pPr>
        <w:rPr>
          <w:rFonts w:ascii="Arial" w:hAnsi="Arial" w:cs="Arial"/>
        </w:rPr>
      </w:pPr>
      <w:r w:rsidRPr="00316459">
        <w:rPr>
          <w:rFonts w:ascii="Arial" w:hAnsi="Arial" w:cs="Arial"/>
        </w:rPr>
        <w:lastRenderedPageBreak/>
        <w:t>•</w:t>
      </w:r>
      <w:r w:rsidRPr="00316459">
        <w:rPr>
          <w:rFonts w:ascii="Arial" w:hAnsi="Arial" w:cs="Arial"/>
        </w:rPr>
        <w:tab/>
        <w:t>Value Added Tax Act 89 of 1991</w:t>
      </w:r>
    </w:p>
    <w:p w14:paraId="03843E13" w14:textId="77777777" w:rsidR="00F1122D" w:rsidRPr="00316459" w:rsidRDefault="00F1122D" w:rsidP="00F1122D">
      <w:pPr>
        <w:rPr>
          <w:rFonts w:ascii="Arial" w:hAnsi="Arial" w:cs="Arial"/>
        </w:rPr>
      </w:pPr>
      <w:r w:rsidRPr="00316459">
        <w:rPr>
          <w:rFonts w:ascii="Arial" w:hAnsi="Arial" w:cs="Arial"/>
        </w:rPr>
        <w:t>9.</w:t>
      </w:r>
      <w:r w:rsidRPr="00316459">
        <w:rPr>
          <w:rFonts w:ascii="Arial" w:hAnsi="Arial" w:cs="Arial"/>
        </w:rPr>
        <w:tab/>
        <w:t>Records held by the Private Body - Section 51(1) (e) Records</w:t>
      </w:r>
    </w:p>
    <w:p w14:paraId="034E11EF" w14:textId="6D1E0922" w:rsidR="00F1122D" w:rsidRPr="00316459" w:rsidRDefault="00F1122D" w:rsidP="00F1122D">
      <w:pPr>
        <w:rPr>
          <w:rFonts w:ascii="Arial" w:hAnsi="Arial" w:cs="Arial"/>
        </w:rPr>
      </w:pPr>
      <w:r w:rsidRPr="00316459">
        <w:rPr>
          <w:rFonts w:ascii="Arial" w:hAnsi="Arial" w:cs="Arial"/>
        </w:rPr>
        <w:t>This section of the manual sets out a description of the subjects on which the Private Body holds records, and categories of records held on each subject. These include operational records of the Private Body utilised in the day to day running and administration of its business:</w:t>
      </w:r>
      <w:r w:rsidRPr="00316459">
        <w:rPr>
          <w:rFonts w:ascii="Arial" w:hAnsi="Arial" w:cs="Arial"/>
        </w:rPr>
        <w:t xml:space="preserve"> </w:t>
      </w:r>
      <w:r w:rsidRPr="00316459">
        <w:rPr>
          <w:rFonts w:ascii="Arial" w:hAnsi="Arial" w:cs="Arial"/>
        </w:rPr>
        <w:t>(DELETE NOT APPLICABLE)</w:t>
      </w:r>
    </w:p>
    <w:p w14:paraId="2CC3C2F9" w14:textId="77777777" w:rsidR="00F1122D" w:rsidRPr="00316459" w:rsidRDefault="00F1122D" w:rsidP="00F1122D">
      <w:pPr>
        <w:rPr>
          <w:rFonts w:ascii="Arial" w:hAnsi="Arial" w:cs="Arial"/>
        </w:rPr>
      </w:pPr>
      <w:r w:rsidRPr="00316459">
        <w:rPr>
          <w:rFonts w:ascii="Arial" w:hAnsi="Arial" w:cs="Arial"/>
        </w:rPr>
        <w:t>Administration:</w:t>
      </w:r>
    </w:p>
    <w:p w14:paraId="57CE680B"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 Licenses (categories); </w:t>
      </w:r>
    </w:p>
    <w:p w14:paraId="247A4F7B" w14:textId="652F883B"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 Minutes of meetings; </w:t>
      </w:r>
    </w:p>
    <w:p w14:paraId="0347E13A" w14:textId="2FE0B719"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 Correspondence; </w:t>
      </w:r>
    </w:p>
    <w:p w14:paraId="779822BE"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Statutory Company records;</w:t>
      </w:r>
    </w:p>
    <w:p w14:paraId="2279C777"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Copies of documents of Incorporation</w:t>
      </w:r>
      <w:r w:rsidRPr="00316459">
        <w:rPr>
          <w:rFonts w:ascii="Arial" w:hAnsi="Arial" w:cs="Arial"/>
        </w:rPr>
        <w:tab/>
      </w:r>
    </w:p>
    <w:p w14:paraId="34E5F520"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Copies of Association agreement</w:t>
      </w:r>
      <w:r w:rsidRPr="00316459">
        <w:rPr>
          <w:rFonts w:ascii="Arial" w:hAnsi="Arial" w:cs="Arial"/>
        </w:rPr>
        <w:tab/>
      </w:r>
    </w:p>
    <w:p w14:paraId="74F99EBE"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Internal Phone lists;</w:t>
      </w:r>
    </w:p>
    <w:p w14:paraId="274BE23A"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Administrative information</w:t>
      </w:r>
    </w:p>
    <w:p w14:paraId="1D7E0EEA" w14:textId="77777777" w:rsidR="00F1122D" w:rsidRPr="00316459" w:rsidRDefault="00F1122D" w:rsidP="00F1122D">
      <w:pPr>
        <w:rPr>
          <w:rFonts w:ascii="Arial" w:hAnsi="Arial" w:cs="Arial"/>
        </w:rPr>
      </w:pPr>
      <w:r w:rsidRPr="00316459">
        <w:rPr>
          <w:rFonts w:ascii="Arial" w:hAnsi="Arial" w:cs="Arial"/>
        </w:rPr>
        <w:t>Operational:</w:t>
      </w:r>
    </w:p>
    <w:p w14:paraId="3CC3DA03"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Sales and Marketing;</w:t>
      </w:r>
    </w:p>
    <w:p w14:paraId="408F8154"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Client Databases Correspondence with customers</w:t>
      </w:r>
      <w:r w:rsidRPr="00316459">
        <w:rPr>
          <w:rFonts w:ascii="Arial" w:hAnsi="Arial" w:cs="Arial"/>
        </w:rPr>
        <w:tab/>
      </w:r>
      <w:r w:rsidRPr="00316459">
        <w:rPr>
          <w:rFonts w:ascii="Arial" w:hAnsi="Arial" w:cs="Arial"/>
        </w:rPr>
        <w:tab/>
      </w:r>
    </w:p>
    <w:p w14:paraId="5C613DFE"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Customers account records</w:t>
      </w:r>
      <w:r w:rsidRPr="00316459">
        <w:rPr>
          <w:rFonts w:ascii="Arial" w:hAnsi="Arial" w:cs="Arial"/>
        </w:rPr>
        <w:tab/>
      </w:r>
      <w:r w:rsidRPr="00316459">
        <w:rPr>
          <w:rFonts w:ascii="Arial" w:hAnsi="Arial" w:cs="Arial"/>
        </w:rPr>
        <w:tab/>
      </w:r>
    </w:p>
    <w:p w14:paraId="1994283F"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with regards to sales</w:t>
      </w:r>
      <w:r w:rsidRPr="00316459">
        <w:rPr>
          <w:rFonts w:ascii="Arial" w:hAnsi="Arial" w:cs="Arial"/>
        </w:rPr>
        <w:tab/>
      </w:r>
      <w:r w:rsidRPr="00316459">
        <w:rPr>
          <w:rFonts w:ascii="Arial" w:hAnsi="Arial" w:cs="Arial"/>
        </w:rPr>
        <w:tab/>
      </w:r>
    </w:p>
    <w:p w14:paraId="63D8ACBC"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with regards to production</w:t>
      </w:r>
      <w:r w:rsidRPr="00316459">
        <w:rPr>
          <w:rFonts w:ascii="Arial" w:hAnsi="Arial" w:cs="Arial"/>
        </w:rPr>
        <w:tab/>
      </w:r>
      <w:r w:rsidRPr="00316459">
        <w:rPr>
          <w:rFonts w:ascii="Arial" w:hAnsi="Arial" w:cs="Arial"/>
        </w:rPr>
        <w:tab/>
      </w:r>
    </w:p>
    <w:p w14:paraId="0A679CD0"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relating to customers</w:t>
      </w:r>
      <w:r w:rsidRPr="00316459">
        <w:rPr>
          <w:rFonts w:ascii="Arial" w:hAnsi="Arial" w:cs="Arial"/>
        </w:rPr>
        <w:tab/>
      </w:r>
      <w:r w:rsidRPr="00316459">
        <w:rPr>
          <w:rFonts w:ascii="Arial" w:hAnsi="Arial" w:cs="Arial"/>
        </w:rPr>
        <w:tab/>
      </w:r>
    </w:p>
    <w:p w14:paraId="43F79C59"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pertaining to costing and quoting</w:t>
      </w:r>
      <w:r w:rsidRPr="00316459">
        <w:rPr>
          <w:rFonts w:ascii="Arial" w:hAnsi="Arial" w:cs="Arial"/>
        </w:rPr>
        <w:tab/>
      </w:r>
      <w:r w:rsidRPr="00316459">
        <w:rPr>
          <w:rFonts w:ascii="Arial" w:hAnsi="Arial" w:cs="Arial"/>
        </w:rPr>
        <w:tab/>
      </w:r>
    </w:p>
    <w:p w14:paraId="0D35D26F"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relating to products</w:t>
      </w:r>
      <w:r w:rsidRPr="00316459">
        <w:rPr>
          <w:rFonts w:ascii="Arial" w:hAnsi="Arial" w:cs="Arial"/>
        </w:rPr>
        <w:tab/>
      </w:r>
      <w:r w:rsidRPr="00316459">
        <w:rPr>
          <w:rFonts w:ascii="Arial" w:hAnsi="Arial" w:cs="Arial"/>
        </w:rPr>
        <w:tab/>
      </w:r>
    </w:p>
    <w:p w14:paraId="64D6A677"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relating to services</w:t>
      </w:r>
      <w:r w:rsidRPr="00316459">
        <w:rPr>
          <w:rFonts w:ascii="Arial" w:hAnsi="Arial" w:cs="Arial"/>
        </w:rPr>
        <w:tab/>
      </w:r>
      <w:r w:rsidRPr="00316459">
        <w:rPr>
          <w:rFonts w:ascii="Arial" w:hAnsi="Arial" w:cs="Arial"/>
        </w:rPr>
        <w:tab/>
      </w:r>
    </w:p>
    <w:p w14:paraId="19BD21A3"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Records relating to market research</w:t>
      </w:r>
      <w:r w:rsidRPr="00316459">
        <w:rPr>
          <w:rFonts w:ascii="Arial" w:hAnsi="Arial" w:cs="Arial"/>
        </w:rPr>
        <w:tab/>
      </w:r>
      <w:r w:rsidRPr="00316459">
        <w:rPr>
          <w:rFonts w:ascii="Arial" w:hAnsi="Arial" w:cs="Arial"/>
        </w:rPr>
        <w:tab/>
      </w:r>
    </w:p>
    <w:p w14:paraId="07C02E1B" w14:textId="39DEF313"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Supply Agreements</w:t>
      </w:r>
      <w:r w:rsidRPr="00316459">
        <w:rPr>
          <w:rFonts w:ascii="Arial" w:hAnsi="Arial" w:cs="Arial"/>
        </w:rPr>
        <w:tab/>
      </w:r>
      <w:r w:rsidRPr="00316459">
        <w:rPr>
          <w:rFonts w:ascii="Arial" w:hAnsi="Arial" w:cs="Arial"/>
        </w:rPr>
        <w:tab/>
      </w:r>
    </w:p>
    <w:p w14:paraId="2B4BB477" w14:textId="77777777" w:rsidR="00F1122D" w:rsidRPr="00316459" w:rsidRDefault="00F1122D" w:rsidP="00F1122D">
      <w:pPr>
        <w:rPr>
          <w:rFonts w:ascii="Arial" w:hAnsi="Arial" w:cs="Arial"/>
        </w:rPr>
      </w:pPr>
      <w:r w:rsidRPr="00316459">
        <w:rPr>
          <w:rFonts w:ascii="Arial" w:hAnsi="Arial" w:cs="Arial"/>
        </w:rPr>
        <w:t xml:space="preserve">  Human Resources: </w:t>
      </w:r>
    </w:p>
    <w:p w14:paraId="2ECEAA61" w14:textId="333B84F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Staff recruitment policies; </w:t>
      </w:r>
    </w:p>
    <w:p w14:paraId="496B205B" w14:textId="7C969DD5"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Induction Manual;</w:t>
      </w:r>
    </w:p>
    <w:p w14:paraId="2DC52A16" w14:textId="439ADE53"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Quality Management System Policy and Procedures;</w:t>
      </w:r>
    </w:p>
    <w:p w14:paraId="7FEC5E76" w14:textId="274FFF0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Employment contracts;</w:t>
      </w:r>
    </w:p>
    <w:p w14:paraId="29F0D838" w14:textId="42F87AF3"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Personnel Records;</w:t>
      </w:r>
    </w:p>
    <w:p w14:paraId="17A39FDB" w14:textId="5191A553" w:rsidR="00F1122D" w:rsidRPr="00316459" w:rsidRDefault="00F1122D" w:rsidP="00F1122D">
      <w:pPr>
        <w:rPr>
          <w:rFonts w:ascii="Arial" w:hAnsi="Arial" w:cs="Arial"/>
        </w:rPr>
      </w:pPr>
      <w:r w:rsidRPr="00316459">
        <w:rPr>
          <w:rFonts w:ascii="Arial" w:hAnsi="Arial" w:cs="Arial"/>
        </w:rPr>
        <w:lastRenderedPageBreak/>
        <w:t>•</w:t>
      </w:r>
      <w:r w:rsidRPr="00316459">
        <w:rPr>
          <w:rFonts w:ascii="Arial" w:hAnsi="Arial" w:cs="Arial"/>
        </w:rPr>
        <w:tab/>
        <w:t>Remuneration records and policies</w:t>
      </w:r>
    </w:p>
    <w:p w14:paraId="3CF9075C" w14:textId="15F4205A" w:rsidR="00F1122D" w:rsidRPr="00316459" w:rsidRDefault="00F1122D" w:rsidP="00F1122D">
      <w:pPr>
        <w:rPr>
          <w:rFonts w:ascii="Arial" w:hAnsi="Arial" w:cs="Arial"/>
        </w:rPr>
      </w:pPr>
      <w:r w:rsidRPr="00316459">
        <w:rPr>
          <w:rFonts w:ascii="Arial" w:hAnsi="Arial" w:cs="Arial"/>
        </w:rPr>
        <w:t xml:space="preserve">Finances: </w:t>
      </w:r>
    </w:p>
    <w:p w14:paraId="59711FFA" w14:textId="1FD662D2"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Management statements; </w:t>
      </w:r>
    </w:p>
    <w:p w14:paraId="63E4AA49" w14:textId="3DC656CF"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Annual financial statements;</w:t>
      </w:r>
    </w:p>
    <w:p w14:paraId="5665A502" w14:textId="3376BBE0"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Accounting records;</w:t>
      </w:r>
    </w:p>
    <w:p w14:paraId="14782C8C"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Directives;</w:t>
      </w:r>
    </w:p>
    <w:p w14:paraId="6151C322" w14:textId="4267CFB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Vouchers;</w:t>
      </w:r>
    </w:p>
    <w:p w14:paraId="18B7EC1C" w14:textId="4FF0B21D"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Stock records; </w:t>
      </w:r>
    </w:p>
    <w:p w14:paraId="62E9B234" w14:textId="3F8DBFCF"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r>
      <w:proofErr w:type="gramStart"/>
      <w:r w:rsidRPr="00316459">
        <w:rPr>
          <w:rFonts w:ascii="Arial" w:hAnsi="Arial" w:cs="Arial"/>
        </w:rPr>
        <w:t>Assets</w:t>
      </w:r>
      <w:proofErr w:type="gramEnd"/>
      <w:r w:rsidRPr="00316459">
        <w:rPr>
          <w:rFonts w:ascii="Arial" w:hAnsi="Arial" w:cs="Arial"/>
        </w:rPr>
        <w:t xml:space="preserve"> inventory;</w:t>
      </w:r>
    </w:p>
    <w:p w14:paraId="3A667265" w14:textId="197BCD69"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Vat records</w:t>
      </w:r>
      <w:r w:rsidRPr="00316459">
        <w:rPr>
          <w:rFonts w:ascii="Arial" w:hAnsi="Arial" w:cs="Arial"/>
        </w:rPr>
        <w:tab/>
      </w:r>
      <w:r w:rsidRPr="00316459">
        <w:rPr>
          <w:rFonts w:ascii="Arial" w:hAnsi="Arial" w:cs="Arial"/>
        </w:rPr>
        <w:tab/>
      </w:r>
      <w:r w:rsidRPr="00316459">
        <w:rPr>
          <w:rFonts w:ascii="Arial" w:hAnsi="Arial" w:cs="Arial"/>
        </w:rPr>
        <w:tab/>
      </w:r>
    </w:p>
    <w:p w14:paraId="073F700D" w14:textId="76B91439"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Tax records</w:t>
      </w:r>
      <w:r w:rsidRPr="00316459">
        <w:rPr>
          <w:rFonts w:ascii="Arial" w:hAnsi="Arial" w:cs="Arial"/>
        </w:rPr>
        <w:tab/>
      </w:r>
      <w:r w:rsidRPr="00316459">
        <w:rPr>
          <w:rFonts w:ascii="Arial" w:hAnsi="Arial" w:cs="Arial"/>
        </w:rPr>
        <w:tab/>
      </w:r>
      <w:r w:rsidRPr="00316459">
        <w:rPr>
          <w:rFonts w:ascii="Arial" w:hAnsi="Arial" w:cs="Arial"/>
        </w:rPr>
        <w:tab/>
      </w:r>
    </w:p>
    <w:p w14:paraId="27BA50A8" w14:textId="2C421F1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PAYE records</w:t>
      </w:r>
      <w:r w:rsidRPr="00316459">
        <w:rPr>
          <w:rFonts w:ascii="Arial" w:hAnsi="Arial" w:cs="Arial"/>
        </w:rPr>
        <w:tab/>
      </w:r>
      <w:r w:rsidRPr="00316459">
        <w:rPr>
          <w:rFonts w:ascii="Arial" w:hAnsi="Arial" w:cs="Arial"/>
        </w:rPr>
        <w:tab/>
      </w:r>
      <w:r w:rsidRPr="00316459">
        <w:rPr>
          <w:rFonts w:ascii="Arial" w:hAnsi="Arial" w:cs="Arial"/>
        </w:rPr>
        <w:tab/>
      </w:r>
    </w:p>
    <w:p w14:paraId="31B4FDC5" w14:textId="65D29C2A"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UIF records</w:t>
      </w:r>
      <w:r w:rsidRPr="00316459">
        <w:rPr>
          <w:rFonts w:ascii="Arial" w:hAnsi="Arial" w:cs="Arial"/>
        </w:rPr>
        <w:tab/>
      </w:r>
      <w:r w:rsidRPr="00316459">
        <w:rPr>
          <w:rFonts w:ascii="Arial" w:hAnsi="Arial" w:cs="Arial"/>
        </w:rPr>
        <w:tab/>
      </w:r>
      <w:r w:rsidRPr="00316459">
        <w:rPr>
          <w:rFonts w:ascii="Arial" w:hAnsi="Arial" w:cs="Arial"/>
        </w:rPr>
        <w:tab/>
      </w:r>
      <w:r w:rsidRPr="00316459">
        <w:rPr>
          <w:rFonts w:ascii="Arial" w:hAnsi="Arial" w:cs="Arial"/>
        </w:rPr>
        <w:tab/>
      </w:r>
      <w:r w:rsidRPr="00316459">
        <w:rPr>
          <w:rFonts w:ascii="Arial" w:hAnsi="Arial" w:cs="Arial"/>
        </w:rPr>
        <w:tab/>
      </w:r>
    </w:p>
    <w:p w14:paraId="07784603" w14:textId="1DBD8A3A"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Asset register</w:t>
      </w:r>
      <w:r w:rsidRPr="00316459">
        <w:rPr>
          <w:rFonts w:ascii="Arial" w:hAnsi="Arial" w:cs="Arial"/>
        </w:rPr>
        <w:tab/>
      </w:r>
      <w:r w:rsidRPr="00316459">
        <w:rPr>
          <w:rFonts w:ascii="Arial" w:hAnsi="Arial" w:cs="Arial"/>
        </w:rPr>
        <w:tab/>
      </w:r>
      <w:r w:rsidRPr="00316459">
        <w:rPr>
          <w:rFonts w:ascii="Arial" w:hAnsi="Arial" w:cs="Arial"/>
        </w:rPr>
        <w:tab/>
      </w:r>
    </w:p>
    <w:p w14:paraId="2C229398" w14:textId="61DC27B4"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 xml:space="preserve">Order forms </w:t>
      </w:r>
      <w:r w:rsidRPr="00316459">
        <w:rPr>
          <w:rFonts w:ascii="Arial" w:hAnsi="Arial" w:cs="Arial"/>
        </w:rPr>
        <w:tab/>
      </w:r>
      <w:r w:rsidRPr="00316459">
        <w:rPr>
          <w:rFonts w:ascii="Arial" w:hAnsi="Arial" w:cs="Arial"/>
        </w:rPr>
        <w:tab/>
      </w:r>
      <w:r w:rsidRPr="00316459">
        <w:rPr>
          <w:rFonts w:ascii="Arial" w:hAnsi="Arial" w:cs="Arial"/>
        </w:rPr>
        <w:tab/>
      </w:r>
    </w:p>
    <w:p w14:paraId="4584F207" w14:textId="5DF45C05"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Invoices</w:t>
      </w:r>
      <w:r w:rsidRPr="00316459">
        <w:rPr>
          <w:rFonts w:ascii="Arial" w:hAnsi="Arial" w:cs="Arial"/>
        </w:rPr>
        <w:tab/>
      </w:r>
      <w:r w:rsidRPr="00316459">
        <w:rPr>
          <w:rFonts w:ascii="Arial" w:hAnsi="Arial" w:cs="Arial"/>
        </w:rPr>
        <w:tab/>
      </w:r>
      <w:r w:rsidRPr="00316459">
        <w:rPr>
          <w:rFonts w:ascii="Arial" w:hAnsi="Arial" w:cs="Arial"/>
        </w:rPr>
        <w:tab/>
      </w:r>
    </w:p>
    <w:p w14:paraId="1845DF25" w14:textId="47C80AD8"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Monthly statements</w:t>
      </w:r>
      <w:r w:rsidRPr="00316459">
        <w:rPr>
          <w:rFonts w:ascii="Arial" w:hAnsi="Arial" w:cs="Arial"/>
        </w:rPr>
        <w:tab/>
      </w:r>
      <w:r w:rsidRPr="00316459">
        <w:rPr>
          <w:rFonts w:ascii="Arial" w:hAnsi="Arial" w:cs="Arial"/>
        </w:rPr>
        <w:tab/>
      </w:r>
      <w:r w:rsidRPr="00316459">
        <w:rPr>
          <w:rFonts w:ascii="Arial" w:hAnsi="Arial" w:cs="Arial"/>
        </w:rPr>
        <w:tab/>
      </w:r>
    </w:p>
    <w:p w14:paraId="4B8E57CC" w14:textId="346CF8AD"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Proof of delivery forms</w:t>
      </w:r>
      <w:r w:rsidRPr="00316459">
        <w:rPr>
          <w:rFonts w:ascii="Arial" w:hAnsi="Arial" w:cs="Arial"/>
        </w:rPr>
        <w:tab/>
      </w:r>
      <w:r w:rsidRPr="00316459">
        <w:rPr>
          <w:rFonts w:ascii="Arial" w:hAnsi="Arial" w:cs="Arial"/>
        </w:rPr>
        <w:tab/>
      </w:r>
      <w:r w:rsidRPr="00316459">
        <w:rPr>
          <w:rFonts w:ascii="Arial" w:hAnsi="Arial" w:cs="Arial"/>
        </w:rPr>
        <w:tab/>
      </w:r>
    </w:p>
    <w:p w14:paraId="2ECB0048" w14:textId="59E10A4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Goods received vouchers</w:t>
      </w:r>
      <w:r w:rsidRPr="00316459">
        <w:rPr>
          <w:rFonts w:ascii="Arial" w:hAnsi="Arial" w:cs="Arial"/>
        </w:rPr>
        <w:tab/>
      </w:r>
      <w:r w:rsidRPr="00316459">
        <w:rPr>
          <w:rFonts w:ascii="Arial" w:hAnsi="Arial" w:cs="Arial"/>
        </w:rPr>
        <w:tab/>
      </w:r>
      <w:r w:rsidRPr="00316459">
        <w:rPr>
          <w:rFonts w:ascii="Arial" w:hAnsi="Arial" w:cs="Arial"/>
        </w:rPr>
        <w:tab/>
      </w:r>
    </w:p>
    <w:p w14:paraId="3CD69576" w14:textId="441C458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Goods return vouchers</w:t>
      </w:r>
      <w:r w:rsidRPr="00316459">
        <w:rPr>
          <w:rFonts w:ascii="Arial" w:hAnsi="Arial" w:cs="Arial"/>
        </w:rPr>
        <w:tab/>
      </w:r>
      <w:r w:rsidRPr="00316459">
        <w:rPr>
          <w:rFonts w:ascii="Arial" w:hAnsi="Arial" w:cs="Arial"/>
        </w:rPr>
        <w:tab/>
      </w:r>
      <w:r w:rsidRPr="00316459">
        <w:rPr>
          <w:rFonts w:ascii="Arial" w:hAnsi="Arial" w:cs="Arial"/>
        </w:rPr>
        <w:tab/>
      </w:r>
    </w:p>
    <w:p w14:paraId="0F309867" w14:textId="5958EA9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Debit notes</w:t>
      </w:r>
      <w:r w:rsidRPr="00316459">
        <w:rPr>
          <w:rFonts w:ascii="Arial" w:hAnsi="Arial" w:cs="Arial"/>
        </w:rPr>
        <w:tab/>
      </w:r>
      <w:r w:rsidRPr="00316459">
        <w:rPr>
          <w:rFonts w:ascii="Arial" w:hAnsi="Arial" w:cs="Arial"/>
        </w:rPr>
        <w:tab/>
      </w:r>
      <w:r w:rsidRPr="00316459">
        <w:rPr>
          <w:rFonts w:ascii="Arial" w:hAnsi="Arial" w:cs="Arial"/>
        </w:rPr>
        <w:tab/>
      </w:r>
    </w:p>
    <w:p w14:paraId="5653544D" w14:textId="4535F7FD"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Credit notes</w:t>
      </w:r>
      <w:r w:rsidRPr="00316459">
        <w:rPr>
          <w:rFonts w:ascii="Arial" w:hAnsi="Arial" w:cs="Arial"/>
        </w:rPr>
        <w:tab/>
      </w:r>
      <w:r w:rsidRPr="00316459">
        <w:rPr>
          <w:rFonts w:ascii="Arial" w:hAnsi="Arial" w:cs="Arial"/>
        </w:rPr>
        <w:tab/>
      </w:r>
      <w:r w:rsidRPr="00316459">
        <w:rPr>
          <w:rFonts w:ascii="Arial" w:hAnsi="Arial" w:cs="Arial"/>
        </w:rPr>
        <w:tab/>
      </w:r>
    </w:p>
    <w:p w14:paraId="55D5E03E" w14:textId="7B1E7640"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Cheque Account / Current Account records</w:t>
      </w:r>
      <w:r w:rsidRPr="00316459">
        <w:rPr>
          <w:rFonts w:ascii="Arial" w:hAnsi="Arial" w:cs="Arial"/>
        </w:rPr>
        <w:tab/>
      </w:r>
      <w:r w:rsidRPr="00316459">
        <w:rPr>
          <w:rFonts w:ascii="Arial" w:hAnsi="Arial" w:cs="Arial"/>
        </w:rPr>
        <w:tab/>
      </w:r>
      <w:r w:rsidRPr="00316459">
        <w:rPr>
          <w:rFonts w:ascii="Arial" w:hAnsi="Arial" w:cs="Arial"/>
        </w:rPr>
        <w:tab/>
      </w:r>
    </w:p>
    <w:p w14:paraId="0908954D" w14:textId="7C8C8E7E"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Cash records</w:t>
      </w:r>
      <w:r w:rsidRPr="00316459">
        <w:rPr>
          <w:rFonts w:ascii="Arial" w:hAnsi="Arial" w:cs="Arial"/>
        </w:rPr>
        <w:tab/>
      </w:r>
      <w:r w:rsidRPr="00316459">
        <w:rPr>
          <w:rFonts w:ascii="Arial" w:hAnsi="Arial" w:cs="Arial"/>
        </w:rPr>
        <w:tab/>
      </w:r>
      <w:r w:rsidRPr="00316459">
        <w:rPr>
          <w:rFonts w:ascii="Arial" w:hAnsi="Arial" w:cs="Arial"/>
        </w:rPr>
        <w:tab/>
      </w:r>
    </w:p>
    <w:p w14:paraId="08C6473F" w14:textId="77777777" w:rsidR="00F1122D" w:rsidRPr="00316459" w:rsidRDefault="00F1122D" w:rsidP="00F1122D">
      <w:pPr>
        <w:rPr>
          <w:rFonts w:ascii="Arial" w:hAnsi="Arial" w:cs="Arial"/>
        </w:rPr>
      </w:pPr>
      <w:r w:rsidRPr="00316459">
        <w:rPr>
          <w:rFonts w:ascii="Arial" w:hAnsi="Arial" w:cs="Arial"/>
        </w:rPr>
        <w:t xml:space="preserve">Other: </w:t>
      </w:r>
    </w:p>
    <w:p w14:paraId="79EFDBF4" w14:textId="77777777"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Intellectual Property</w:t>
      </w:r>
    </w:p>
    <w:p w14:paraId="5D4B8320" w14:textId="01D6283D" w:rsidR="00F1122D" w:rsidRPr="00316459" w:rsidRDefault="00F1122D" w:rsidP="00F1122D">
      <w:pPr>
        <w:rPr>
          <w:rFonts w:ascii="Arial" w:hAnsi="Arial" w:cs="Arial"/>
        </w:rPr>
      </w:pPr>
      <w:r w:rsidRPr="00316459">
        <w:rPr>
          <w:rFonts w:ascii="Arial" w:hAnsi="Arial" w:cs="Arial"/>
        </w:rPr>
        <w:t>•</w:t>
      </w:r>
      <w:r w:rsidRPr="00316459">
        <w:rPr>
          <w:rFonts w:ascii="Arial" w:hAnsi="Arial" w:cs="Arial"/>
        </w:rPr>
        <w:tab/>
        <w:t>Information Technology</w:t>
      </w:r>
    </w:p>
    <w:p w14:paraId="611DEC8D" w14:textId="051EB0B8" w:rsidR="008A3DEB" w:rsidRPr="00316459" w:rsidRDefault="00BD43C5" w:rsidP="00316459">
      <w:pPr>
        <w:rPr>
          <w:rFonts w:ascii="Arial" w:hAnsi="Arial" w:cs="Arial"/>
        </w:rPr>
      </w:pPr>
      <w:r w:rsidRPr="00316459">
        <w:rPr>
          <w:rFonts w:ascii="Arial" w:hAnsi="Arial" w:cs="Arial"/>
        </w:rPr>
        <w:br/>
      </w:r>
    </w:p>
    <w:sectPr w:rsidR="008A3DEB" w:rsidRPr="00316459" w:rsidSect="003626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0839" w14:textId="77777777" w:rsidR="00AF2B72" w:rsidRDefault="00AF2B72" w:rsidP="00A13DAC">
      <w:pPr>
        <w:spacing w:after="0" w:line="240" w:lineRule="auto"/>
      </w:pPr>
      <w:r>
        <w:separator/>
      </w:r>
    </w:p>
  </w:endnote>
  <w:endnote w:type="continuationSeparator" w:id="0">
    <w:p w14:paraId="4FAF4953" w14:textId="77777777" w:rsidR="00AF2B72" w:rsidRDefault="00AF2B72" w:rsidP="00A1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EB9A" w14:textId="77777777" w:rsidR="00AF2B72" w:rsidRDefault="00AF2B72" w:rsidP="00A13DAC">
      <w:pPr>
        <w:spacing w:after="0" w:line="240" w:lineRule="auto"/>
      </w:pPr>
      <w:r>
        <w:separator/>
      </w:r>
    </w:p>
  </w:footnote>
  <w:footnote w:type="continuationSeparator" w:id="0">
    <w:p w14:paraId="5CC22743" w14:textId="77777777" w:rsidR="00AF2B72" w:rsidRDefault="00AF2B72" w:rsidP="00A13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33A"/>
    <w:multiLevelType w:val="hybridMultilevel"/>
    <w:tmpl w:val="2FFC214A"/>
    <w:lvl w:ilvl="0" w:tplc="DD024E60">
      <w:start w:val="2"/>
      <w:numFmt w:val="lowerLetter"/>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0EC7168D"/>
    <w:multiLevelType w:val="hybridMultilevel"/>
    <w:tmpl w:val="68CE418A"/>
    <w:lvl w:ilvl="0" w:tplc="042EAF7C">
      <w:start w:val="1"/>
      <w:numFmt w:val="decimal"/>
      <w:lvlText w:val="%1."/>
      <w:lvlJc w:val="left"/>
      <w:pPr>
        <w:ind w:left="720" w:hanging="360"/>
      </w:pPr>
      <w:rPr>
        <w:rFonts w:ascii="Arial,Bold" w:hAnsi="Arial,Bold" w:cs="Arial,Bold" w:hint="default"/>
        <w:b/>
      </w:rPr>
    </w:lvl>
    <w:lvl w:ilvl="1" w:tplc="9620D55A">
      <w:start w:val="1"/>
      <w:numFmt w:val="lowerLetter"/>
      <w:lvlText w:val="%2."/>
      <w:lvlJc w:val="left"/>
      <w:pPr>
        <w:ind w:left="1440" w:hanging="360"/>
      </w:pPr>
    </w:lvl>
    <w:lvl w:ilvl="2" w:tplc="620CF80A" w:tentative="1">
      <w:start w:val="1"/>
      <w:numFmt w:val="lowerRoman"/>
      <w:lvlText w:val="%3."/>
      <w:lvlJc w:val="right"/>
      <w:pPr>
        <w:ind w:left="2160" w:hanging="180"/>
      </w:pPr>
    </w:lvl>
    <w:lvl w:ilvl="3" w:tplc="5C500200" w:tentative="1">
      <w:start w:val="1"/>
      <w:numFmt w:val="decimal"/>
      <w:lvlText w:val="%4."/>
      <w:lvlJc w:val="left"/>
      <w:pPr>
        <w:ind w:left="2880" w:hanging="360"/>
      </w:pPr>
    </w:lvl>
    <w:lvl w:ilvl="4" w:tplc="1E2CDB2E" w:tentative="1">
      <w:start w:val="1"/>
      <w:numFmt w:val="lowerLetter"/>
      <w:lvlText w:val="%5."/>
      <w:lvlJc w:val="left"/>
      <w:pPr>
        <w:ind w:left="3600" w:hanging="360"/>
      </w:pPr>
    </w:lvl>
    <w:lvl w:ilvl="5" w:tplc="297622A0" w:tentative="1">
      <w:start w:val="1"/>
      <w:numFmt w:val="lowerRoman"/>
      <w:lvlText w:val="%6."/>
      <w:lvlJc w:val="right"/>
      <w:pPr>
        <w:ind w:left="4320" w:hanging="180"/>
      </w:pPr>
    </w:lvl>
    <w:lvl w:ilvl="6" w:tplc="C53053F4" w:tentative="1">
      <w:start w:val="1"/>
      <w:numFmt w:val="decimal"/>
      <w:lvlText w:val="%7."/>
      <w:lvlJc w:val="left"/>
      <w:pPr>
        <w:ind w:left="5040" w:hanging="360"/>
      </w:pPr>
    </w:lvl>
    <w:lvl w:ilvl="7" w:tplc="1B5E654C" w:tentative="1">
      <w:start w:val="1"/>
      <w:numFmt w:val="lowerLetter"/>
      <w:lvlText w:val="%8."/>
      <w:lvlJc w:val="left"/>
      <w:pPr>
        <w:ind w:left="5760" w:hanging="360"/>
      </w:pPr>
    </w:lvl>
    <w:lvl w:ilvl="8" w:tplc="982663F8" w:tentative="1">
      <w:start w:val="1"/>
      <w:numFmt w:val="lowerRoman"/>
      <w:lvlText w:val="%9."/>
      <w:lvlJc w:val="right"/>
      <w:pPr>
        <w:ind w:left="6480" w:hanging="180"/>
      </w:pPr>
    </w:lvl>
  </w:abstractNum>
  <w:abstractNum w:abstractNumId="2" w15:restartNumberingAfterBreak="0">
    <w:nsid w:val="220126B5"/>
    <w:multiLevelType w:val="hybridMultilevel"/>
    <w:tmpl w:val="57A6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0384A"/>
    <w:multiLevelType w:val="hybridMultilevel"/>
    <w:tmpl w:val="7F42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B08FC"/>
    <w:multiLevelType w:val="hybridMultilevel"/>
    <w:tmpl w:val="76D4122C"/>
    <w:lvl w:ilvl="0" w:tplc="54966EA0">
      <w:start w:val="1"/>
      <w:numFmt w:val="lowerLetter"/>
      <w:lvlText w:val="(%1)"/>
      <w:lvlJc w:val="left"/>
      <w:pPr>
        <w:tabs>
          <w:tab w:val="num" w:pos="1080"/>
        </w:tabs>
        <w:ind w:left="1080" w:hanging="720"/>
      </w:pPr>
      <w:rPr>
        <w:rFonts w:hint="default"/>
      </w:rPr>
    </w:lvl>
    <w:lvl w:ilvl="1" w:tplc="85E066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B5B67"/>
    <w:multiLevelType w:val="hybridMultilevel"/>
    <w:tmpl w:val="84B8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165EF"/>
    <w:multiLevelType w:val="hybridMultilevel"/>
    <w:tmpl w:val="867A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3AD8"/>
    <w:multiLevelType w:val="hybridMultilevel"/>
    <w:tmpl w:val="138C43C6"/>
    <w:lvl w:ilvl="0" w:tplc="35FA21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932A3"/>
    <w:multiLevelType w:val="hybridMultilevel"/>
    <w:tmpl w:val="AAA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B7B47"/>
    <w:multiLevelType w:val="hybridMultilevel"/>
    <w:tmpl w:val="5EE8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31A9E"/>
    <w:multiLevelType w:val="hybridMultilevel"/>
    <w:tmpl w:val="5C5A5F14"/>
    <w:lvl w:ilvl="0" w:tplc="0E6A41CE">
      <w:start w:val="4"/>
      <w:numFmt w:val="upperLetter"/>
      <w:lvlText w:val="%1."/>
      <w:lvlJc w:val="left"/>
      <w:pPr>
        <w:tabs>
          <w:tab w:val="num" w:pos="1080"/>
        </w:tabs>
        <w:ind w:left="1080" w:hanging="720"/>
      </w:pPr>
      <w:rPr>
        <w:rFonts w:hint="default"/>
      </w:rPr>
    </w:lvl>
    <w:lvl w:ilvl="1" w:tplc="D9A4EB6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CA461B"/>
    <w:multiLevelType w:val="hybridMultilevel"/>
    <w:tmpl w:val="0248C2AA"/>
    <w:lvl w:ilvl="0" w:tplc="174C241E">
      <w:start w:val="3"/>
      <w:numFmt w:val="bullet"/>
      <w:lvlText w:val="·"/>
      <w:lvlJc w:val="left"/>
      <w:pPr>
        <w:ind w:left="960" w:hanging="6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96BA9"/>
    <w:multiLevelType w:val="multilevel"/>
    <w:tmpl w:val="072457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1876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547766"/>
    <w:multiLevelType w:val="hybridMultilevel"/>
    <w:tmpl w:val="2C6C974C"/>
    <w:lvl w:ilvl="0" w:tplc="042EAF7C">
      <w:start w:val="1"/>
      <w:numFmt w:val="decimal"/>
      <w:lvlText w:val="%1."/>
      <w:lvlJc w:val="left"/>
      <w:pPr>
        <w:ind w:left="720" w:hanging="360"/>
      </w:pPr>
      <w:rPr>
        <w:rFonts w:ascii="Arial,Bold" w:hAnsi="Arial,Bold" w:cs="Arial,Bold" w:hint="default"/>
        <w:b/>
      </w:rPr>
    </w:lvl>
    <w:lvl w:ilvl="1" w:tplc="9620D55A">
      <w:start w:val="1"/>
      <w:numFmt w:val="lowerLetter"/>
      <w:lvlText w:val="%2."/>
      <w:lvlJc w:val="left"/>
      <w:pPr>
        <w:ind w:left="1440" w:hanging="360"/>
      </w:pPr>
    </w:lvl>
    <w:lvl w:ilvl="2" w:tplc="620CF80A" w:tentative="1">
      <w:start w:val="1"/>
      <w:numFmt w:val="lowerRoman"/>
      <w:lvlText w:val="%3."/>
      <w:lvlJc w:val="right"/>
      <w:pPr>
        <w:ind w:left="2160" w:hanging="180"/>
      </w:pPr>
    </w:lvl>
    <w:lvl w:ilvl="3" w:tplc="5C500200" w:tentative="1">
      <w:start w:val="1"/>
      <w:numFmt w:val="decimal"/>
      <w:lvlText w:val="%4."/>
      <w:lvlJc w:val="left"/>
      <w:pPr>
        <w:ind w:left="2880" w:hanging="360"/>
      </w:pPr>
    </w:lvl>
    <w:lvl w:ilvl="4" w:tplc="1E2CDB2E" w:tentative="1">
      <w:start w:val="1"/>
      <w:numFmt w:val="lowerLetter"/>
      <w:lvlText w:val="%5."/>
      <w:lvlJc w:val="left"/>
      <w:pPr>
        <w:ind w:left="3600" w:hanging="360"/>
      </w:pPr>
    </w:lvl>
    <w:lvl w:ilvl="5" w:tplc="297622A0" w:tentative="1">
      <w:start w:val="1"/>
      <w:numFmt w:val="lowerRoman"/>
      <w:lvlText w:val="%6."/>
      <w:lvlJc w:val="right"/>
      <w:pPr>
        <w:ind w:left="4320" w:hanging="180"/>
      </w:pPr>
    </w:lvl>
    <w:lvl w:ilvl="6" w:tplc="C53053F4" w:tentative="1">
      <w:start w:val="1"/>
      <w:numFmt w:val="decimal"/>
      <w:lvlText w:val="%7."/>
      <w:lvlJc w:val="left"/>
      <w:pPr>
        <w:ind w:left="5040" w:hanging="360"/>
      </w:pPr>
    </w:lvl>
    <w:lvl w:ilvl="7" w:tplc="1B5E654C" w:tentative="1">
      <w:start w:val="1"/>
      <w:numFmt w:val="lowerLetter"/>
      <w:lvlText w:val="%8."/>
      <w:lvlJc w:val="left"/>
      <w:pPr>
        <w:ind w:left="5760" w:hanging="360"/>
      </w:pPr>
    </w:lvl>
    <w:lvl w:ilvl="8" w:tplc="982663F8" w:tentative="1">
      <w:start w:val="1"/>
      <w:numFmt w:val="lowerRoman"/>
      <w:lvlText w:val="%9."/>
      <w:lvlJc w:val="right"/>
      <w:pPr>
        <w:ind w:left="6480" w:hanging="180"/>
      </w:pPr>
    </w:lvl>
  </w:abstractNum>
  <w:abstractNum w:abstractNumId="15" w15:restartNumberingAfterBreak="0">
    <w:nsid w:val="73862BAC"/>
    <w:multiLevelType w:val="multilevel"/>
    <w:tmpl w:val="C62C2A3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4"/>
  </w:num>
  <w:num w:numId="2">
    <w:abstractNumId w:val="12"/>
  </w:num>
  <w:num w:numId="3">
    <w:abstractNumId w:val="13"/>
  </w:num>
  <w:num w:numId="4">
    <w:abstractNumId w:val="15"/>
  </w:num>
  <w:num w:numId="5">
    <w:abstractNumId w:val="3"/>
  </w:num>
  <w:num w:numId="6">
    <w:abstractNumId w:val="1"/>
  </w:num>
  <w:num w:numId="7">
    <w:abstractNumId w:val="9"/>
  </w:num>
  <w:num w:numId="8">
    <w:abstractNumId w:val="5"/>
  </w:num>
  <w:num w:numId="9">
    <w:abstractNumId w:val="6"/>
  </w:num>
  <w:num w:numId="10">
    <w:abstractNumId w:val="8"/>
  </w:num>
  <w:num w:numId="11">
    <w:abstractNumId w:val="11"/>
  </w:num>
  <w:num w:numId="12">
    <w:abstractNumId w:val="2"/>
  </w:num>
  <w:num w:numId="13">
    <w:abstractNumId w:val="0"/>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D7"/>
    <w:rsid w:val="00003906"/>
    <w:rsid w:val="000239E7"/>
    <w:rsid w:val="00042618"/>
    <w:rsid w:val="00065959"/>
    <w:rsid w:val="000830F1"/>
    <w:rsid w:val="00090315"/>
    <w:rsid w:val="000E0D09"/>
    <w:rsid w:val="001366CE"/>
    <w:rsid w:val="00141CED"/>
    <w:rsid w:val="00152C7F"/>
    <w:rsid w:val="00184EBB"/>
    <w:rsid w:val="001D0F2B"/>
    <w:rsid w:val="001F4089"/>
    <w:rsid w:val="002459E3"/>
    <w:rsid w:val="002D7D49"/>
    <w:rsid w:val="003035A0"/>
    <w:rsid w:val="00310F3F"/>
    <w:rsid w:val="00316459"/>
    <w:rsid w:val="003411D7"/>
    <w:rsid w:val="00362600"/>
    <w:rsid w:val="00393260"/>
    <w:rsid w:val="003B5982"/>
    <w:rsid w:val="003F7A4B"/>
    <w:rsid w:val="00402C6D"/>
    <w:rsid w:val="004B6C4B"/>
    <w:rsid w:val="0051596D"/>
    <w:rsid w:val="00534FDC"/>
    <w:rsid w:val="00560C3A"/>
    <w:rsid w:val="0061574F"/>
    <w:rsid w:val="00624E9D"/>
    <w:rsid w:val="006334D2"/>
    <w:rsid w:val="006A1ABB"/>
    <w:rsid w:val="006A5A69"/>
    <w:rsid w:val="006D33F7"/>
    <w:rsid w:val="006F5B67"/>
    <w:rsid w:val="00717133"/>
    <w:rsid w:val="00767549"/>
    <w:rsid w:val="00775403"/>
    <w:rsid w:val="007A0858"/>
    <w:rsid w:val="007E29F9"/>
    <w:rsid w:val="008003CC"/>
    <w:rsid w:val="008213B2"/>
    <w:rsid w:val="0084279C"/>
    <w:rsid w:val="00895A0B"/>
    <w:rsid w:val="008A3DEB"/>
    <w:rsid w:val="008B2CCD"/>
    <w:rsid w:val="009125AE"/>
    <w:rsid w:val="0092737A"/>
    <w:rsid w:val="009E5117"/>
    <w:rsid w:val="00A13DAC"/>
    <w:rsid w:val="00A75515"/>
    <w:rsid w:val="00AB2974"/>
    <w:rsid w:val="00AF2B72"/>
    <w:rsid w:val="00AF65D0"/>
    <w:rsid w:val="00B023C5"/>
    <w:rsid w:val="00B816FF"/>
    <w:rsid w:val="00B87CBC"/>
    <w:rsid w:val="00BA198F"/>
    <w:rsid w:val="00BB3F49"/>
    <w:rsid w:val="00BD43C5"/>
    <w:rsid w:val="00BF1593"/>
    <w:rsid w:val="00C2288B"/>
    <w:rsid w:val="00CD0C55"/>
    <w:rsid w:val="00CF436E"/>
    <w:rsid w:val="00CF5DC1"/>
    <w:rsid w:val="00D20419"/>
    <w:rsid w:val="00D34804"/>
    <w:rsid w:val="00D415BA"/>
    <w:rsid w:val="00D712D4"/>
    <w:rsid w:val="00DC0142"/>
    <w:rsid w:val="00E34ABB"/>
    <w:rsid w:val="00EA3407"/>
    <w:rsid w:val="00F1122D"/>
    <w:rsid w:val="00F37620"/>
    <w:rsid w:val="00F472A2"/>
    <w:rsid w:val="00F86FE8"/>
    <w:rsid w:val="00F92391"/>
    <w:rsid w:val="00FD5FB7"/>
    <w:rsid w:val="00FE4E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F3C2"/>
  <w15:docId w15:val="{C0D8B894-D36D-46FB-B9A2-261F1187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7549"/>
    <w:pPr>
      <w:keepNext/>
      <w:numPr>
        <w:numId w:val="2"/>
      </w:numPr>
      <w:spacing w:before="120" w:after="120" w:line="240" w:lineRule="auto"/>
      <w:outlineLvl w:val="0"/>
    </w:pPr>
    <w:rPr>
      <w:rFonts w:ascii="Times New Roman" w:eastAsia="Times New Roman" w:hAnsi="Times New Roman" w:cs="Times New Roman"/>
      <w:b/>
      <w:caps/>
      <w:sz w:val="32"/>
      <w:szCs w:val="20"/>
      <w:lang w:val="en-GB"/>
    </w:rPr>
  </w:style>
  <w:style w:type="paragraph" w:styleId="Heading2">
    <w:name w:val="heading 2"/>
    <w:basedOn w:val="Normal"/>
    <w:next w:val="Normal"/>
    <w:link w:val="Heading2Char"/>
    <w:qFormat/>
    <w:rsid w:val="00767549"/>
    <w:pPr>
      <w:keepNext/>
      <w:numPr>
        <w:ilvl w:val="1"/>
        <w:numId w:val="2"/>
      </w:numPr>
      <w:spacing w:before="240" w:after="60" w:line="240" w:lineRule="auto"/>
      <w:outlineLvl w:val="1"/>
    </w:pPr>
    <w:rPr>
      <w:rFonts w:ascii="Arial" w:eastAsia="Times New Roman" w:hAnsi="Arial" w:cs="Times New Roman"/>
      <w:b/>
      <w:sz w:val="24"/>
      <w:szCs w:val="20"/>
      <w:lang w:val="en-GB"/>
    </w:rPr>
  </w:style>
  <w:style w:type="paragraph" w:styleId="Heading3">
    <w:name w:val="heading 3"/>
    <w:basedOn w:val="Normal"/>
    <w:next w:val="Normal"/>
    <w:link w:val="Heading3Char"/>
    <w:autoRedefine/>
    <w:qFormat/>
    <w:rsid w:val="00767549"/>
    <w:pPr>
      <w:keepNext/>
      <w:numPr>
        <w:ilvl w:val="2"/>
        <w:numId w:val="2"/>
      </w:numPr>
      <w:spacing w:before="240" w:after="60" w:line="240" w:lineRule="auto"/>
      <w:outlineLvl w:val="2"/>
    </w:pPr>
    <w:rPr>
      <w:rFonts w:ascii="Times New Roman" w:eastAsia="Times New Roman" w:hAnsi="Times New Roman" w:cs="Times New Roman"/>
      <w:i/>
      <w:sz w:val="24"/>
      <w:szCs w:val="20"/>
      <w:u w:val="single"/>
      <w:lang w:val="en-GB"/>
    </w:rPr>
  </w:style>
  <w:style w:type="paragraph" w:styleId="Heading4">
    <w:name w:val="heading 4"/>
    <w:basedOn w:val="Normal"/>
    <w:next w:val="Normal"/>
    <w:link w:val="Heading4Char"/>
    <w:qFormat/>
    <w:rsid w:val="00767549"/>
    <w:pPr>
      <w:keepNext/>
      <w:numPr>
        <w:ilvl w:val="3"/>
        <w:numId w:val="2"/>
      </w:numPr>
      <w:spacing w:before="240" w:after="60" w:line="240" w:lineRule="auto"/>
      <w:outlineLvl w:val="3"/>
    </w:pPr>
    <w:rPr>
      <w:rFonts w:ascii="Arial" w:eastAsia="Times New Roman" w:hAnsi="Arial" w:cs="Times New Roman"/>
      <w:b/>
      <w:sz w:val="24"/>
      <w:szCs w:val="20"/>
      <w:lang w:val="en-GB"/>
    </w:rPr>
  </w:style>
  <w:style w:type="paragraph" w:styleId="Heading5">
    <w:name w:val="heading 5"/>
    <w:basedOn w:val="Normal"/>
    <w:next w:val="Normal"/>
    <w:link w:val="Heading5Char"/>
    <w:qFormat/>
    <w:rsid w:val="00767549"/>
    <w:pPr>
      <w:numPr>
        <w:ilvl w:val="4"/>
        <w:numId w:val="2"/>
      </w:numPr>
      <w:spacing w:before="240" w:after="60" w:line="240" w:lineRule="auto"/>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qFormat/>
    <w:rsid w:val="00767549"/>
    <w:pPr>
      <w:numPr>
        <w:ilvl w:val="5"/>
        <w:numId w:val="2"/>
      </w:numPr>
      <w:spacing w:before="240" w:after="60" w:line="240" w:lineRule="auto"/>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767549"/>
    <w:pPr>
      <w:numPr>
        <w:ilvl w:val="6"/>
        <w:numId w:val="2"/>
      </w:numPr>
      <w:spacing w:before="240" w:after="60" w:line="240" w:lineRule="auto"/>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767549"/>
    <w:pPr>
      <w:numPr>
        <w:ilvl w:val="7"/>
        <w:numId w:val="2"/>
      </w:numPr>
      <w:spacing w:before="240" w:after="60" w:line="240" w:lineRule="auto"/>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767549"/>
    <w:pPr>
      <w:numPr>
        <w:ilvl w:val="8"/>
        <w:numId w:val="2"/>
      </w:numPr>
      <w:spacing w:before="240" w:after="60" w:line="240" w:lineRule="auto"/>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CED"/>
    <w:pPr>
      <w:ind w:left="720"/>
      <w:contextualSpacing/>
    </w:pPr>
  </w:style>
  <w:style w:type="character" w:customStyle="1" w:styleId="Heading1Char">
    <w:name w:val="Heading 1 Char"/>
    <w:basedOn w:val="DefaultParagraphFont"/>
    <w:link w:val="Heading1"/>
    <w:rsid w:val="00767549"/>
    <w:rPr>
      <w:rFonts w:ascii="Times New Roman" w:eastAsia="Times New Roman" w:hAnsi="Times New Roman" w:cs="Times New Roman"/>
      <w:b/>
      <w:caps/>
      <w:sz w:val="32"/>
      <w:szCs w:val="20"/>
      <w:lang w:val="en-GB"/>
    </w:rPr>
  </w:style>
  <w:style w:type="character" w:customStyle="1" w:styleId="Heading2Char">
    <w:name w:val="Heading 2 Char"/>
    <w:basedOn w:val="DefaultParagraphFont"/>
    <w:link w:val="Heading2"/>
    <w:rsid w:val="00767549"/>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767549"/>
    <w:rPr>
      <w:rFonts w:ascii="Times New Roman" w:eastAsia="Times New Roman" w:hAnsi="Times New Roman" w:cs="Times New Roman"/>
      <w:i/>
      <w:sz w:val="24"/>
      <w:szCs w:val="20"/>
      <w:u w:val="single"/>
      <w:lang w:val="en-GB"/>
    </w:rPr>
  </w:style>
  <w:style w:type="character" w:customStyle="1" w:styleId="Heading4Char">
    <w:name w:val="Heading 4 Char"/>
    <w:basedOn w:val="DefaultParagraphFont"/>
    <w:link w:val="Heading4"/>
    <w:rsid w:val="00767549"/>
    <w:rPr>
      <w:rFonts w:ascii="Arial" w:eastAsia="Times New Roman" w:hAnsi="Arial" w:cs="Times New Roman"/>
      <w:b/>
      <w:sz w:val="24"/>
      <w:szCs w:val="20"/>
      <w:lang w:val="en-GB"/>
    </w:rPr>
  </w:style>
  <w:style w:type="character" w:customStyle="1" w:styleId="Heading5Char">
    <w:name w:val="Heading 5 Char"/>
    <w:basedOn w:val="DefaultParagraphFont"/>
    <w:link w:val="Heading5"/>
    <w:rsid w:val="00767549"/>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767549"/>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767549"/>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767549"/>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767549"/>
    <w:rPr>
      <w:rFonts w:ascii="Arial" w:eastAsia="Times New Roman" w:hAnsi="Arial" w:cs="Times New Roman"/>
      <w:b/>
      <w:i/>
      <w:sz w:val="18"/>
      <w:szCs w:val="20"/>
      <w:lang w:val="en-GB"/>
    </w:rPr>
  </w:style>
  <w:style w:type="paragraph" w:styleId="BodyText3">
    <w:name w:val="Body Text 3"/>
    <w:basedOn w:val="Normal"/>
    <w:link w:val="BodyText3Char"/>
    <w:semiHidden/>
    <w:rsid w:val="00767549"/>
    <w:pPr>
      <w:spacing w:after="0" w:line="240" w:lineRule="auto"/>
    </w:pPr>
    <w:rPr>
      <w:rFonts w:ascii="Times New Roman" w:eastAsia="Times New Roman" w:hAnsi="Times New Roman" w:cs="Times New Roman"/>
      <w:szCs w:val="20"/>
      <w:lang w:val="en-GB"/>
    </w:rPr>
  </w:style>
  <w:style w:type="character" w:customStyle="1" w:styleId="BodyText3Char">
    <w:name w:val="Body Text 3 Char"/>
    <w:basedOn w:val="DefaultParagraphFont"/>
    <w:link w:val="BodyText3"/>
    <w:semiHidden/>
    <w:rsid w:val="00767549"/>
    <w:rPr>
      <w:rFonts w:ascii="Times New Roman" w:eastAsia="Times New Roman" w:hAnsi="Times New Roman" w:cs="Times New Roman"/>
      <w:szCs w:val="20"/>
      <w:lang w:val="en-GB"/>
    </w:rPr>
  </w:style>
  <w:style w:type="paragraph" w:customStyle="1" w:styleId="Number1">
    <w:name w:val="Number 1"/>
    <w:basedOn w:val="ListNumber"/>
    <w:rsid w:val="00767549"/>
    <w:pPr>
      <w:tabs>
        <w:tab w:val="left" w:pos="567"/>
      </w:tabs>
      <w:spacing w:before="60" w:after="60" w:line="240" w:lineRule="auto"/>
      <w:contextualSpacing w:val="0"/>
      <w:jc w:val="both"/>
    </w:pPr>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767549"/>
    <w:pPr>
      <w:tabs>
        <w:tab w:val="num" w:pos="360"/>
      </w:tabs>
      <w:ind w:left="360" w:hanging="360"/>
      <w:contextualSpacing/>
    </w:pPr>
  </w:style>
  <w:style w:type="character" w:styleId="Hyperlink">
    <w:name w:val="Hyperlink"/>
    <w:basedOn w:val="DefaultParagraphFont"/>
    <w:uiPriority w:val="99"/>
    <w:unhideWhenUsed/>
    <w:rsid w:val="00F472A2"/>
    <w:rPr>
      <w:color w:val="0000FF" w:themeColor="hyperlink"/>
      <w:u w:val="single"/>
    </w:rPr>
  </w:style>
  <w:style w:type="paragraph" w:styleId="Header">
    <w:name w:val="header"/>
    <w:basedOn w:val="Normal"/>
    <w:link w:val="HeaderChar"/>
    <w:uiPriority w:val="99"/>
    <w:semiHidden/>
    <w:unhideWhenUsed/>
    <w:rsid w:val="00A13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DAC"/>
  </w:style>
  <w:style w:type="paragraph" w:styleId="Footer">
    <w:name w:val="footer"/>
    <w:basedOn w:val="Normal"/>
    <w:link w:val="FooterChar"/>
    <w:uiPriority w:val="99"/>
    <w:unhideWhenUsed/>
    <w:rsid w:val="00A1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DAC"/>
  </w:style>
  <w:style w:type="paragraph" w:styleId="BalloonText">
    <w:name w:val="Balloon Text"/>
    <w:basedOn w:val="Normal"/>
    <w:link w:val="BalloonTextChar"/>
    <w:uiPriority w:val="99"/>
    <w:semiHidden/>
    <w:unhideWhenUsed/>
    <w:rsid w:val="00362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056">
      <w:bodyDiv w:val="1"/>
      <w:marLeft w:val="0"/>
      <w:marRight w:val="0"/>
      <w:marTop w:val="0"/>
      <w:marBottom w:val="0"/>
      <w:divBdr>
        <w:top w:val="none" w:sz="0" w:space="0" w:color="auto"/>
        <w:left w:val="none" w:sz="0" w:space="0" w:color="auto"/>
        <w:bottom w:val="none" w:sz="0" w:space="0" w:color="auto"/>
        <w:right w:val="none" w:sz="0" w:space="0" w:color="auto"/>
      </w:divBdr>
    </w:div>
    <w:div w:id="1128202341">
      <w:bodyDiv w:val="1"/>
      <w:marLeft w:val="0"/>
      <w:marRight w:val="0"/>
      <w:marTop w:val="0"/>
      <w:marBottom w:val="0"/>
      <w:divBdr>
        <w:top w:val="none" w:sz="0" w:space="0" w:color="auto"/>
        <w:left w:val="none" w:sz="0" w:space="0" w:color="auto"/>
        <w:bottom w:val="none" w:sz="0" w:space="0" w:color="auto"/>
        <w:right w:val="none" w:sz="0" w:space="0" w:color="auto"/>
      </w:divBdr>
    </w:div>
    <w:div w:id="14697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28A8-481C-430B-B9A5-43CE9579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FaithNgwenya</dc:creator>
  <cp:lastModifiedBy>Pierre Goosen</cp:lastModifiedBy>
  <cp:revision>7</cp:revision>
  <cp:lastPrinted>2011-12-01T07:03:00Z</cp:lastPrinted>
  <dcterms:created xsi:type="dcterms:W3CDTF">2022-03-04T09:06:00Z</dcterms:created>
  <dcterms:modified xsi:type="dcterms:W3CDTF">2022-03-04T09:24:00Z</dcterms:modified>
</cp:coreProperties>
</file>